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 acuerdo a sus estatutos, la sociedad tiene por objeto:  </w:t>
      </w:r>
    </w:p>
    <w:p>
      <w:pPr/>
      <w:r>
        <w:rPr/>
        <w:t xml:space="preserve"> </w:t>
      </w:r>
    </w:p>
    <w:p>
      <w:pPr/>
      <w:r>
        <w:rPr/>
        <w:t xml:space="preserve">Servicios sociales</w:t>
      </w:r>
    </w:p>
    <w:p>
      <w:pPr/>
      <w:r>
        <w:rPr/>
        <w:t xml:space="preserve">Servicios municipales. </w:t>
      </w:r>
    </w:p>
    <w:p>
      <w:pPr/>
      <w:r>
        <w:rPr/>
        <w:t xml:space="preserve">El domicilio Social se fija en la C/ Real,28 de La Aldea de San Nicolás. Siendo el principal órgano gestor de Gobierno la Junta General constituida por el Pleno del Iltre Ayuntamiento de La Aldea de San Nicolás.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2026-09-22T23:30:55+00:00</dcterms:created>
  <dcterms:modified xsi:type="dcterms:W3CDTF">2026-09-22T23:30:55+00:00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