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Forma, contenido y lugar de la presentación de las quejas y reclamaciones.</w:t>
      </w:r>
    </w:p>
    <w:p>
      <w:pPr>
        <w:pStyle w:val="Heading5"/>
      </w:pPr>
      <w:r>
        <w:rPr/>
        <w:t xml:space="preserve">Tramitación</w:t>
      </w:r>
    </w:p>
    <w:p>
      <w:pPr>
        <w:pStyle w:val="Heading5"/>
      </w:pPr>
      <w:r>
        <w:rPr/>
        <w:t xml:space="preserve">Finalización y notificación.</w:t>
      </w:r>
    </w:p>
    <w:p>
      <w:pPr>
        <w:pStyle w:val="Heading5"/>
      </w:pPr>
      <w:r>
        <w:rPr/>
        <w:t xml:space="preserve">Estadisticas de quejas y reclamaciones</w:t>
      </w:r>
    </w:p>
    <w:p>
      <w:pPr/>
      <w:r>
        <w:rPr/>
        <w:t xml:space="preserve">    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2026-06-23T21:15:15+00:00</dcterms:created>
  <dcterms:modified xsi:type="dcterms:W3CDTF">2026-06-23T21:15:15+00:00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