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/>
        <w:t xml:space="preserve">Forma, contenido y lugar de la presentación de las quejas y reclamaciones.</w:t>
      </w:r>
    </w:p>
    <w:p>
      <w:pPr>
        <w:pStyle w:val="Heading5"/>
      </w:pPr>
      <w:r>
        <w:rPr/>
        <w:t xml:space="preserve">Tramitación</w:t>
      </w:r>
    </w:p>
    <w:p>
      <w:pPr>
        <w:pStyle w:val="Heading5"/>
      </w:pPr>
      <w:r>
        <w:rPr/>
        <w:t xml:space="preserve">Finalización y notificación.</w:t>
      </w:r>
    </w:p>
    <w:p>
      <w:pPr>
        <w:pStyle w:val="Heading5"/>
      </w:pPr>
      <w:r>
        <w:rPr/>
        <w:t xml:space="preserve">Estadisticas de quejas y reclamaciones</w:t>
      </w:r>
    </w:p>
    <w:p>
      <w:pPr/>
      <w:r>
        <w:rPr/>
        <w:t xml:space="preserve">         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2026-09-23T23:33:31+00:00</dcterms:created>
  <dcterms:modified xsi:type="dcterms:W3CDTF">2026-09-23T23:33:31+00:00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