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Gasto en personal</w:t>
      </w:r>
    </w:p>
    <w:p>
      <w:pPr>
        <w:pStyle w:val="Heading5"/>
      </w:pPr>
      <w:r>
        <w:rPr/>
        <w:t xml:space="preserve">Gasto efectuado en concepto de arrendamiento de bienes inmuebles.</w:t>
      </w:r>
    </w:p>
    <w:p>
      <w:pPr>
        <w:pStyle w:val="Heading5"/>
      </w:pPr>
      <w:r>
        <w:rPr/>
        <w:t xml:space="preserve">Gasto en patrocinio y publicidad institucional </w:t>
      </w:r>
    </w:p>
    <w:p>
      <w:pPr/>
      <w:r>
        <w:rPr/>
        <w:t xml:space="preserve">  </w:t>
      </w:r>
    </w:p>
    <w:p>
      <w:pPr>
        <w:pStyle w:val="Heading5"/>
      </w:pPr>
      <w:r>
        <w:rPr/>
        <w:t xml:space="preserve">Gasto en ayudas y subvenciones para actividades económicas.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2026-08-08T05:10:07+00:00</dcterms:created>
  <dcterms:modified xsi:type="dcterms:W3CDTF">2026-08-08T05:10:07+00:00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