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Gasto en personal</w:t>
      </w:r>
    </w:p>
    <w:p>
      <w:pPr>
        <w:pStyle w:val="Heading5"/>
      </w:pPr>
      <w:r>
        <w:rPr/>
        <w:t xml:space="preserve">Gasto efectuado en concepto de arrendamiento de bienes inmuebles.</w:t>
      </w:r>
    </w:p>
    <w:p>
      <w:pPr>
        <w:pStyle w:val="Heading5"/>
      </w:pPr>
      <w:r>
        <w:rPr/>
        <w:t xml:space="preserve">Gasto en patrocinio y publicidad institucional </w:t>
      </w:r>
    </w:p>
    <w:p>
      <w:pPr/>
      <w:r>
        <w:rPr/>
        <w:t xml:space="preserve">  </w:t>
      </w:r>
    </w:p>
    <w:p>
      <w:pPr>
        <w:pStyle w:val="Heading5"/>
      </w:pPr>
      <w:r>
        <w:rPr/>
        <w:t xml:space="preserve">Gasto en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2026-09-23T23:33:11+00:00</dcterms:created>
  <dcterms:modified xsi:type="dcterms:W3CDTF">2026-09-23T23:33:11+00:00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