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550" w:type="dxa"/>
      </w:tblGrid>
      <w:tblPr>
        <w:tblW w:w="5000" w:type="pct"/>
        <w:tblLayout w:type="autofit"/>
        <w:bidiVisual w:val="0"/>
      </w:tblPr>
      <w:tr>
        <w:trPr/>
        <w:tc>
          <w:tcPr>
            <w:tcW w:w="2550" w:type="pct"/>
          </w:tcPr>
          <w:p>
            <w:pPr/>
            <w:r>
              <w:rPr/>
              <w:t xml:space="preserve">La sociedad Aledana de Servicios y Atención Ciudadana no posee procedimientos electrónicos en la sede</w:t>
            </w:r>
          </w:p>
        </w:tc>
      </w:tr>
      <w:tr>
        <w:trPr/>
        <w:tc>
          <w:tcPr>
            <w:tcW w:w="2550" w:type="pct"/>
          </w:tcPr>
          <w:p>
            <w:pPr/>
            <w:r>
              <w:rPr/>
      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Canaria).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2026-09-22T23:30:11+00:00</dcterms:created>
  <dcterms:modified xsi:type="dcterms:W3CDTF">2026-09-22T23:30:11+00:00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