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550" w:type="dxa"/>
      </w:tblGrid>
      <w:tblPr>
        <w:tblW w:w="5000" w:type="pct"/>
        <w:tblLayout w:type="autofit"/>
        <w:bidiVisual w:val="0"/>
      </w:tblPr>
      <w:tr>
        <w:trPr/>
        <w:tc>
          <w:tcPr>
            <w:tcW w:w="2550" w:type="pct"/>
          </w:tcPr>
          <w:p>
            <w:pPr/>
            <w:r>
              <w:rPr/>
              <w:t xml:space="preserve">La sociedad Aledana de Servicios y Atención Ciudadana no posee procedimientos electrónicos en la sede</w:t>
            </w:r>
          </w:p>
        </w:tc>
      </w:tr>
      <w:tr>
        <w:trPr/>
        <w:tc>
          <w:tcPr>
            <w:tcW w:w="2550" w:type="pct"/>
          </w:tcPr>
          <w:p>
            <w:pPr/>
            <w:r>
              <w:rPr/>
              <w:t xml:space="preserve">El procedimiento para solicitud de plazas de ingreso en nuestro servicio residencial es ajena a la administración del centro. Y se realiza a través de los Servicios Sociales y del IAS (Instituto de Atención Sociosanitaria del Cabildo de Gran Canaria).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2026-11-07T16:13:58+00:00</dcterms:created>
  <dcterms:modified xsi:type="dcterms:W3CDTF">2026-11-07T16:13:58+00:00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