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0"/>
          <w:bCs w:val="0"/>
        </w:rPr>
        <w:t xml:space="preserve">1195 Información estadística necesaria para valorar el grado de </w:t>
      </w:r>
      <w:r>
        <w:rPr>
          <w:b w:val="1"/>
          <w:bCs w:val="1"/>
        </w:rPr>
        <w:t xml:space="preserve">cumplimiento y calidad de los servicios</w:t>
      </w:r>
      <w:r>
        <w:rPr>
          <w:b w:val="0"/>
          <w:bCs w:val="0"/>
        </w:rPr>
        <w:t xml:space="preserve"> públicos que sean de su competencia.</w:t>
      </w:r>
    </w:p>
    <w:p>
      <w:pPr/>
      <w:r>
        <w:rPr>
          <w:b w:val="1"/>
          <w:bCs w:val="1"/>
        </w:rPr>
        <w:t xml:space="preserve"> Durante el año 2025 el centro pudo atender 43 plazas de usuarios.</w:t>
      </w:r>
    </w:p>
    <w:p>
      <w:pPr/>
      <w:r>
        <w:rPr>
          <w:b w:val="1"/>
          <w:bCs w:val="1"/>
        </w:rPr>
        <w:t xml:space="preserve">Durante el año 2022 se prestó atención en nuestro servicio a un total de 46 Usuarios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2026-06-23T20:00:05+00:00</dcterms:created>
  <dcterms:modified xsi:type="dcterms:W3CDTF">2026-06-23T20:00:05+00:00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