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existe actividad o información acerca de ambas obligacioes ya que en </w:t>
      </w:r>
      <w:r>
        <w:rPr>
          <w:b w:val="1"/>
          <w:bCs w:val="1"/>
        </w:rPr>
        <w:t xml:space="preserve">no se ha firmado ninguna encomienda ni encargo en 2021, 2022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pudiendo utilizar la ciudadanía los medios legalmente establecidos para ejercer su derecho de acceso a la información pública. No se han producido tampoco modificaciones sobre estas.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hay información respecto de 1</w:t>
      </w:r>
      <w:r>
        <w:rPr>
          <w:b w:val="1"/>
          <w:bCs w:val="1"/>
        </w:rPr>
        <w:t xml:space="preserve">175 Personas o entidades adjudicatarias, procedimiento seguido e importe de las subcontrataciones efectuadas en el ejercicio 2025: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2026-08-08T05:08:58+00:00</dcterms:created>
  <dcterms:modified xsi:type="dcterms:W3CDTF">2026-08-08T05:08:58+00:00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