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13.2. Encargos a medios propios y encomiendas de gestión se informa que no existe actividad o información acerca de ambas obligacioes ya que en </w:t>
      </w:r>
      <w:r>
        <w:rPr>
          <w:b w:val="1"/>
          <w:bCs w:val="1"/>
        </w:rPr>
        <w:t xml:space="preserve">no se ha firmado ninguna encomienda ni encargo en 2021, 2022</w:t>
      </w:r>
      <w:r>
        <w:rPr/>
        <w:t xml:space="preserve"> y </w:t>
      </w:r>
      <w:r>
        <w:rPr>
          <w:b w:val="1"/>
          <w:bCs w:val="1"/>
        </w:rPr>
        <w:t xml:space="preserve">2025 </w:t>
      </w:r>
      <w:r>
        <w:rPr/>
        <w:t xml:space="preserve">pudiendo utilizar la ciudadanía los medios legalmente establecidos para ejercer su derecho de acceso a la información pública. No se han producido tampoco modificaciones sobre estas.</w:t>
      </w:r>
    </w:p>
    <w:p>
      <w:pPr/>
      <w:r>
        <w:rPr/>
        <w:t xml:space="preserve">  </w:t>
      </w:r>
    </w:p>
    <w:p>
      <w:pPr/>
      <w:r>
        <w:rPr/>
        <w:t xml:space="preserve"> </w:t>
      </w:r>
    </w:p>
    <w:p>
      <w:pPr/>
      <w:r>
        <w:rPr/>
        <w:t xml:space="preserve">Al objeto de dar cumplimiento a los indicadores de la Ley Canaria de Transparencia (Ley 12/2014, de 26 de diciembre) en su apartado 13.2. Encargos a medios propios y encomiendas de gestión se informa que no hay información respecto de 1</w:t>
      </w:r>
      <w:r>
        <w:rPr>
          <w:b w:val="1"/>
          <w:bCs w:val="1"/>
        </w:rPr>
        <w:t xml:space="preserve">175 Personas o entidades adjudicatarias, procedimiento seguido e importe de las subcontrataciones efectuadas en el ejercicio 2025: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2026-09-23T23:32:57+00:00</dcterms:created>
  <dcterms:modified xsi:type="dcterms:W3CDTF">2026-09-23T23:32:57+00:00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